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bookmarkStart w:id="0" w:name="_GoBack"/>
      <w:bookmarkEnd w:id="0"/>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苏州市供销合作总社</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2024年，在市委、市政府的正确领导和省总社的坚强指导下，全系统以习近平新时代中国特色社会主义思想为指导，全面宣传贯彻落实党的二十大和二十届二中、三中全会精神，深入学习习近平总书记关于“三农”工作的重要论述和供销合作社工作的重要指示精神，学习贯彻习近平总书记在中华全国供销合作总社成立70周年之际对供销合作社工作作出的重要指示精神，持续深化供销合作社综合改革。从抓好党的建设、加强农业社会化服务能力、深化农产品流通体系建设、提升联合社治理机制等方面持续深化供销合作社综合改革，不断提升为农服务能力，圆满完成市委市政府和上级供销社明确的重点任务。按照苏州市委、市政府和江苏省社的部署要求，紧扣全省供销系统“一体两业三网”布局，强化党建引领，聚焦主职主业，坚持因地制宜，深化产销对接发展农产品流通网，放大先行优势发展农业社会化服务网，突出试点示范发展冷链物流网，进一步健全全市供销系统为农服务网络体系。</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一)宣传贯彻党中央和国务院、省委和省政府、市委和市政府有关农村经济工作和社会发展的方针政策，研究制定全市合作经济的发展战略和发展规划，参与有关法规和政策的制定，指导全市供销社的工作，促进合作经济的发展。
</w:t>
        <w:br/>
        <w:t>(二)根据全市农业产业结构调整的大局，参与农业产业化建设，指导发展各类专业合作社、专业协会和农村经纪人队伍，组织、协调农业生产资料和防汛物资等重要商品的供应及农副产品收购工作。
</w:t>
        <w:br/>
        <w:t>(三)向市政府和有关部门反映农民社员和供销合作社的意见和要求，协调与政府有关部门及其他社会组织的关系，维护各级供销社的合法权益。
</w:t>
        <w:br/>
        <w:t>(四)指导全市供销社的组织建设，密切同农民的联系，协调社员社之间的关系。
</w:t>
        <w:br/>
        <w:t>(五)协同各县级市、区党委做好县级市、区供销社主任的配备调整、考核考察工作。指导全市供销社系统的组织队伍建设和人才开发工作；组织指导对各级供销社干部和职工的教育培训。
</w:t>
        <w:br/>
        <w:t>(六)管理运营本级社资产，对社办企业按出资额依法享有所有者资产受益、重大决策和选择管理者的权利，监督本级社社有资产，指导全市各级供销社社有资产的管理。
</w:t>
        <w:br/>
        <w:t>(七)受有关部门委托，对有关行业、学科或业务范围内的全市性社会团体履行业务主管单位的监督管理职能。
</w:t>
        <w:br/>
        <w:t>(八)代表市内供销社系统与国际经济组织和社会团体等开展经济、贸易、技术、人才交流，签订合资合作协议，接受捐赠、资助。组织协调和指导系统的外经外贸工作。
</w:t>
        <w:br/>
        <w:t>(九)承办市委、市政府和上级社交办的其他事项。</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全系统全年销售总额（含开放办社企业）达777.11亿元，农（副）产品批发市场交易额突破205亿元；实现农药集中配供超1.64亿元，肥药集采统配面积78万亩，农业社会化服务229万亩次，为乡村振兴注入了强劲动能。
</w:t>
        <w:br/>
        <w:t>一是党建领航把方向，作风建设见真章。全系统始终将政治建设摆在首位，以高质量党建保障高质量发展。深入学习贯彻党的二十届四中全会精神，通过党组理论学习中心组学习、交流研讨发言、举办专题培训班等形式，系统性组织深入学习，结合实际谋划好当前和今后的工作思路。召开党风廉政工作会议，制定年度全面从严治党工作要点，开展廉政谈话、警示教育、“走馆访廉”等，排查廉政风险点 31 条，制定防控措施 22 条。全系统举办各类培训 3381 人次，其中农村实用人才 1256 人次、基层社主任 128 人次，引导广大干部职工面对新形势、新任务积极识变应变求变，营造以学习促提升的热烈氛围。
</w:t>
        <w:br/>
        <w:t>二是深耕农业生产，筑牢为农服务根基。充分发挥农资流通主渠道作用，全力服务保障国家粮食安全。全年推广测土配方肥4.96万吨、有机肥和生物农药等新型肥药1.79万吨，落实市级化肥储备1200吨。深入贯彻习近平生态文明思想，践行“两山”理念，助力绿色农业，依托6家农资公司和174家门店，全年回收农药包装废弃物3440万件、无害化处置率100%，回收废旧农膜1455吨，有效减少农业面源污染。为农服务提质扩面。建成县域农资中心和农服中心9个，紧盯稻麦耕、种、管、收、销产业链的全流程，积极探索创新服务模式。全年完成拌种服务610吨、育秧1.5万亩、烘干1.7万吨。
</w:t>
        <w:br/>
        <w:t>三是畅通产销对接，激活市场流通动能。依托市社农产品展示展销中心，将线下“苏州供销大集”与线上“吴地侬香”展销深度融入“时味苏州”区域性品牌建设，整合全市优质农（副）产品资源，助力产业增效、农民增收。构建“市—县—镇—村”四级流通网络，创新“市级统筹、县域联动”双会场模式，形成全域覆盖的展示展销体系。。与工商银行、中信银行战略合作，工行提供50亿元普惠助农专项授信额度。与邮政、顺丰、有线电视合作推广“交邮快供线”模式，促进优势互补，提升农（副）产品运输效率。做优对口帮扶。构建“电商+网点+专区”消费帮扶矩阵，实现销售额5917.3万元，开展产销对接活动240余场，签订协议66份，在信阳等地举办推介活动，达成意向采购5470万元，相关经验获市政府领导批示肯定。
</w:t>
        <w:br/>
        <w:t>四是夯实组织体系，提升系统治理效能。制度建设持续完善。出台《苏州市供销合作总社理事会工作规则（试行）》和《苏州市供销合作总社关于完善监事会监督工作机制的意见》，指导常熟、张家港市社召开社员代表大会，选举产生新一届理（监）事会。基层组织提质增效。推进“千县千社质量提升行动”，创建 2 家示范基层社，改造 7 家基层社，提升 8 家农村综合服务社。资产盘活释放效能。深化综合改革，活化资产利用，丰富供销新业态。苏州市社与名城集团、城投住房租赁公司签订三方协议，完善资产盘活利用。 
</w:t>
        <w:br/>
        <w:t>五是统筹安全发展，筑牢稳定屏障。安全生产责任压实。深入贯彻党组国家安全工作责任制和安全生产责任制，牢固树立安全发展观念，召开专题会议部署安全工作。完善应急预案，加强应急物资储备和演练，全年实现安全生产“零事故”。内控建设持续优化。制定《内部控制建设工作实施方案》， 完善收支管理、政府采购、资产管理等制度。再生资源体系全面构建。积极响应“两新”部署，指导构建“固定+流动+在线”多元化回收模式，服务绿色循环发展。率先介入“公物仓”废旧物资回收处置，2025 年累计集中处置 2590 件、120 余吨，节约财政支出超 35 万元。</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我社在2025年度部门整体支出工作中，始终围绕自身职能履行以及绩效目标达成来进行资源分配与资金使用，在保障日常各项业务有序开展、推动重要项目稳步推进等方面，整体支出绩效发挥了关键支撑作用，有力地促进了本社各项工作朝着既定目标顺利迈进。然而，通过对全年预算执行情况进行全面、深入、细致的复盘与分析后发现，在整体支出绩效中仍然暴露出若干亟待改进之处，具体表现为以下三个主要方面：其一，预算执行进度出现了一定程度的滞后现象。部分项目资金拨付与使用未按计划节点推进，出现资金沉淀的现象，影响整体支出节奏。其二，绩效指标设定精准度不足。因预算编制时对次年任务复杂性预估不足，部分绩效指标的细化、量化程度不够，自评工作，难以全面准确的反映工作成效。其三，因工作计划调整导致部分绩效指标的目标值和完成值存在偏离情况，未能及时申请调整绩效目标值。
</w:t>
        <w:br/>
        <w:t>为了能够切实有效地解决上述诸多问题，我社经过充分研讨与审慎规划，拟采取以下一系列具有针对性的改进措施，以构建构建“事前科学设定、事中动态监控、事后规范调整”的闭环管理机制，确保绩效目标与工作计划紧密衔接，提高绩效评价的准确性和预算资金的使用效益，推动部门绩效管理从“重结果”向“重过程与结果并重”转变。一是提升部门预算绩效科学编制能力，通过深入分析过往预算执行数据，结合当年工作重点与业务发展趋势，运用科学的量化方法，制定更为精确、更具可操作性的预算指标，切实增强预算编制的科学性与严谨性，为后续的预算执行与效果评估提供坚实可靠的依据。二是强化绩效目标的跟踪管理。明确各项工作任务的时间进度和职责分工，推动部门目标管理工作优化，做好半年度绩效目标监控工作，对资金进度出现滞后的项目分析原因并及时整改，确保每一笔资金都能在最恰当的时间、以最合理的方式投入到关键业务环节中。三是建立绩效目标动态调整机制。在预算执行中因特殊原因导致绩效目标需要随之调整的，按照绩效目标管理要求和预算调整流程及时向上报批。同时，应组织绩效管理专题培训，重点讲解绩效目标调整的政策要求、操作规范及案例分析，切实提高部门人员对预算绩效的思想认识与业务水平，确保全体工作人员能够熟练掌握并灵活运用相关知识与技能，以更加专业、高效的状态投入到工作中。</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 xml:space="preserve">我社成立了专门的预算绩效评价小组，认真开展2025年部门整体绩效自评价工作。在绩效自评结果应用方面，针对自评中发现的薄弱环节和突出问题，制定切实可行的整改措施，实现绩效管理的闭环运行，推动财政资金使用效率的提升。在绩效公开方面，建立健全绩效自评结果公开的审查机制，确保公开内容符合保密规定，避免信息泄露，经审查后通过官方网站、江苏预决算公开平台等渠道，向社会公众公开自评报告，同时加强对公开信息的解读和宣传，提高公众对绩效管理的认知度和参与度，推动形成与社会良性互动的良好局面。 </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r>
              <w:rPr>
                <w:rFonts w:ascii="宋体" w:hAnsi="宋体" w:cs="宋体" w:eastAsia="宋体"/>
                <w:b w:val="true"/>
                <w:color w:val=""/>
                <w:sz w:val="24"/>
                <w:u w:val="none"/>
              </w:rPr>
              <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1899.33</w:t>
            </w:r>
          </w:p>
        </w:tc>
        <w:tc>
          <w:tcPr>
            <w:tcW w:w="2268" w:type="dxa"/>
            <w:vAlign w:val="center"/>
          </w:tcPr>
          <w:p>
            <w:pPr>
              <w:widowControl/>
              <w:jc w:val="center"/>
              <w:rPr>
                <w:rFonts w:ascii="宋体" w:hAnsi="宋体" w:cs="宋体"/>
                <w:sz w:val="24"/>
              </w:rPr>
            </w:pPr>
            <w:r>
              <w:rPr>
                <w:rFonts w:hint="eastAsia" w:ascii="宋体" w:hAnsi="宋体" w:cs="宋体"/>
                <w:sz w:val="24"/>
              </w:rPr>
              <w:t>389.67</w:t>
            </w:r>
          </w:p>
        </w:tc>
        <w:tc>
          <w:tcPr>
            <w:tcW w:w="2268" w:type="dxa"/>
            <w:vAlign w:val="center"/>
          </w:tcPr>
          <w:p>
            <w:pPr>
              <w:widowControl/>
              <w:jc w:val="center"/>
              <w:rPr>
                <w:rFonts w:ascii="宋体" w:hAnsi="宋体" w:cs="宋体"/>
                <w:sz w:val="24"/>
              </w:rPr>
            </w:pPr>
            <w:r>
              <w:rPr>
                <w:rFonts w:hint="eastAsia" w:ascii="宋体" w:hAnsi="宋体" w:cs="宋体"/>
                <w:sz w:val="24"/>
              </w:rPr>
              <w:t>2289</w:t>
            </w:r>
          </w:p>
        </w:tc>
        <w:tc>
          <w:tcPr>
            <w:tcW w:w="2268" w:type="dxa"/>
            <w:vAlign w:val="center"/>
          </w:tcPr>
          <w:p>
            <w:pPr>
              <w:widowControl/>
              <w:jc w:val="center"/>
              <w:rPr>
                <w:rFonts w:ascii="宋体" w:hAnsi="宋体" w:cs="宋体"/>
                <w:sz w:val="24"/>
              </w:rPr>
            </w:pPr>
            <w:r>
              <w:rPr>
                <w:rFonts w:hint="eastAsia" w:ascii="宋体" w:hAnsi="宋体" w:cs="宋体"/>
                <w:sz w:val="24"/>
              </w:rPr>
              <w:t>2286.85</w:t>
            </w:r>
          </w:p>
        </w:tc>
        <w:tc>
          <w:tcPr>
            <w:tcW w:w="2268" w:type="dxa"/>
            <w:vAlign w:val="center"/>
          </w:tcPr>
          <w:p>
            <w:pPr>
              <w:widowControl/>
              <w:jc w:val="center"/>
              <w:rPr>
                <w:rFonts w:ascii="宋体" w:hAnsi="宋体" w:cs="宋体"/>
                <w:sz w:val="24"/>
              </w:rPr>
            </w:pPr>
            <w:r>
              <w:rPr>
                <w:rFonts w:hint="eastAsia" w:ascii="宋体" w:hAnsi="宋体" w:cs="宋体"/>
                <w:sz w:val="24"/>
              </w:rPr>
              <w:t>99.91%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1633.01</w:t>
            </w:r>
          </w:p>
        </w:tc>
        <w:tc>
          <w:tcPr>
            <w:tcW w:w="2268" w:type="dxa"/>
            <w:vAlign w:val="center"/>
          </w:tcPr>
          <w:p>
            <w:pPr>
              <w:widowControl/>
              <w:jc w:val="center"/>
              <w:rPr>
                <w:rFonts w:ascii="宋体" w:hAnsi="宋体" w:cs="宋体"/>
                <w:sz w:val="24"/>
              </w:rPr>
            </w:pPr>
            <w:r>
              <w:rPr>
                <w:rFonts w:hint="eastAsia" w:ascii="宋体" w:hAnsi="宋体" w:cs="宋体"/>
                <w:sz w:val="24"/>
              </w:rPr>
              <w:t>447.8</w:t>
            </w:r>
          </w:p>
        </w:tc>
        <w:tc>
          <w:tcPr>
            <w:tcW w:w="2268" w:type="dxa"/>
            <w:vAlign w:val="center"/>
          </w:tcPr>
          <w:p>
            <w:pPr>
              <w:widowControl/>
              <w:jc w:val="center"/>
              <w:rPr>
                <w:rFonts w:ascii="宋体" w:hAnsi="宋体" w:cs="宋体"/>
                <w:sz w:val="24"/>
              </w:rPr>
            </w:pPr>
            <w:r>
              <w:rPr>
                <w:rFonts w:hint="eastAsia" w:ascii="宋体" w:hAnsi="宋体" w:cs="宋体"/>
                <w:sz w:val="24"/>
              </w:rPr>
              <w:t>2080.81</w:t>
            </w:r>
          </w:p>
        </w:tc>
        <w:tc>
          <w:tcPr>
            <w:tcW w:w="2268" w:type="dxa"/>
            <w:vAlign w:val="center"/>
          </w:tcPr>
          <w:p>
            <w:pPr>
              <w:widowControl/>
              <w:jc w:val="center"/>
              <w:rPr>
                <w:rFonts w:ascii="宋体" w:hAnsi="宋体" w:cs="宋体"/>
                <w:sz w:val="24"/>
              </w:rPr>
            </w:pPr>
            <w:r>
              <w:rPr>
                <w:rFonts w:hint="eastAsia" w:ascii="宋体" w:hAnsi="宋体" w:cs="宋体"/>
                <w:sz w:val="24"/>
              </w:rPr>
              <w:t>2078.65</w:t>
            </w:r>
          </w:p>
        </w:tc>
        <w:tc>
          <w:tcPr>
            <w:tcW w:w="2268" w:type="dxa"/>
            <w:vAlign w:val="center"/>
          </w:tcPr>
          <w:p>
            <w:pPr>
              <w:widowControl/>
              <w:jc w:val="center"/>
              <w:rPr>
                <w:rFonts w:ascii="宋体" w:hAnsi="宋体" w:cs="宋体"/>
                <w:sz w:val="24"/>
              </w:rPr>
            </w:pPr>
            <w:r>
              <w:rPr>
                <w:rFonts w:hint="eastAsia" w:ascii="宋体" w:hAnsi="宋体" w:cs="宋体"/>
                <w:sz w:val="24"/>
              </w:rPr>
              <w:t>99.90%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266.32</w:t>
            </w:r>
          </w:p>
        </w:tc>
        <w:tc>
          <w:tcPr>
            <w:tcW w:w="2268" w:type="dxa"/>
            <w:vAlign w:val="center"/>
          </w:tcPr>
          <w:p>
            <w:pPr>
              <w:widowControl/>
              <w:jc w:val="center"/>
              <w:rPr>
                <w:rFonts w:ascii="宋体" w:hAnsi="宋体" w:cs="宋体"/>
                <w:sz w:val="24"/>
              </w:rPr>
            </w:pPr>
            <w:r>
              <w:rPr>
                <w:rFonts w:hint="eastAsia" w:ascii="宋体" w:hAnsi="宋体" w:cs="宋体"/>
                <w:sz w:val="24"/>
              </w:rPr>
              <w:t>-58.13</w:t>
            </w:r>
          </w:p>
        </w:tc>
        <w:tc>
          <w:tcPr>
            <w:tcW w:w="2268" w:type="dxa"/>
            <w:vAlign w:val="center"/>
          </w:tcPr>
          <w:p>
            <w:pPr>
              <w:widowControl/>
              <w:jc w:val="center"/>
              <w:rPr>
                <w:rFonts w:ascii="宋体" w:hAnsi="宋体" w:cs="宋体"/>
                <w:sz w:val="24"/>
              </w:rPr>
            </w:pPr>
            <w:r>
              <w:rPr>
                <w:rFonts w:hint="eastAsia" w:ascii="宋体" w:hAnsi="宋体" w:cs="宋体"/>
                <w:sz w:val="24"/>
              </w:rPr>
              <w:t>208.19</w:t>
            </w:r>
          </w:p>
        </w:tc>
        <w:tc>
          <w:tcPr>
            <w:tcW w:w="2268" w:type="dxa"/>
            <w:vAlign w:val="center"/>
          </w:tcPr>
          <w:p>
            <w:pPr>
              <w:widowControl/>
              <w:jc w:val="center"/>
              <w:rPr>
                <w:rFonts w:ascii="宋体" w:hAnsi="宋体" w:cs="宋体"/>
                <w:sz w:val="24"/>
              </w:rPr>
            </w:pPr>
            <w:r>
              <w:rPr>
                <w:rFonts w:hint="eastAsia" w:ascii="宋体" w:hAnsi="宋体" w:cs="宋体"/>
                <w:sz w:val="24"/>
              </w:rPr>
              <w:t>208.2</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设备购置</w:t>
            </w:r>
          </w:p>
        </w:tc>
        <w:tc>
          <w:tcPr>
            <w:tcW w:w="2268" w:type="dxa"/>
            <w:vAlign w:val="center"/>
          </w:tcPr>
          <w:p>
            <w:pPr>
              <w:widowControl/>
              <w:jc w:val="center"/>
              <w:rPr>
                <w:rFonts w:ascii="宋体" w:hAnsi="宋体" w:cs="宋体"/>
                <w:kern w:val="0"/>
                <w:sz w:val="24"/>
              </w:rPr>
            </w:pPr>
            <w:r>
              <w:rPr>
                <w:rFonts w:hint="eastAsia" w:ascii="宋体" w:hAnsi="宋体" w:cs="宋体"/>
                <w:sz w:val="24"/>
              </w:rPr>
              <w:t>9.92</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9.92</w:t>
            </w:r>
          </w:p>
        </w:tc>
        <w:tc>
          <w:tcPr>
            <w:tcW w:w="2268" w:type="dxa"/>
            <w:vAlign w:val="center"/>
          </w:tcPr>
          <w:p>
            <w:pPr>
              <w:widowControl/>
              <w:jc w:val="center"/>
              <w:rPr>
                <w:rFonts w:ascii="宋体" w:hAnsi="宋体" w:cs="宋体"/>
                <w:sz w:val="24"/>
              </w:rPr>
            </w:pPr>
            <w:r>
              <w:rPr>
                <w:rFonts w:hint="eastAsia" w:ascii="宋体" w:hAnsi="宋体" w:cs="宋体"/>
                <w:sz w:val="24"/>
              </w:rPr>
              <w:t>0.63</w:t>
            </w:r>
          </w:p>
        </w:tc>
        <w:tc>
          <w:tcPr>
            <w:tcW w:w="2268" w:type="dxa"/>
            <w:vAlign w:val="center"/>
          </w:tcPr>
          <w:p>
            <w:pPr>
              <w:widowControl/>
              <w:jc w:val="center"/>
              <w:rPr>
                <w:rFonts w:ascii="宋体" w:hAnsi="宋体" w:cs="宋体"/>
                <w:sz w:val="24"/>
              </w:rPr>
            </w:pPr>
            <w:r>
              <w:rPr>
                <w:rFonts w:hint="eastAsia" w:ascii="宋体" w:hAnsi="宋体" w:cs="宋体"/>
                <w:sz w:val="24"/>
              </w:rPr>
              <w:t>6.35%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物业管理费</w:t>
            </w:r>
          </w:p>
        </w:tc>
        <w:tc>
          <w:tcPr>
            <w:tcW w:w="2268" w:type="dxa"/>
            <w:vAlign w:val="center"/>
          </w:tcPr>
          <w:p>
            <w:pPr>
              <w:widowControl/>
              <w:jc w:val="center"/>
              <w:rPr>
                <w:rFonts w:ascii="宋体" w:hAnsi="宋体" w:cs="宋体"/>
                <w:kern w:val="0"/>
                <w:sz w:val="24"/>
              </w:rPr>
            </w:pPr>
            <w:r>
              <w:rPr>
                <w:rFonts w:hint="eastAsia" w:ascii="宋体" w:hAnsi="宋体" w:cs="宋体"/>
                <w:sz w:val="24"/>
              </w:rPr>
              <w:t>60</w:t>
            </w:r>
          </w:p>
        </w:tc>
        <w:tc>
          <w:tcPr>
            <w:tcW w:w="2268" w:type="dxa"/>
            <w:vAlign w:val="center"/>
          </w:tcPr>
          <w:p>
            <w:pPr>
              <w:widowControl/>
              <w:jc w:val="center"/>
              <w:rPr>
                <w:rFonts w:ascii="宋体" w:hAnsi="宋体" w:cs="宋体"/>
                <w:sz w:val="24"/>
              </w:rPr>
            </w:pPr>
            <w:r>
              <w:rPr>
                <w:rFonts w:hint="eastAsia" w:ascii="宋体" w:hAnsi="宋体" w:cs="宋体"/>
                <w:sz w:val="24"/>
              </w:rPr>
              <w:t>-55</w:t>
            </w:r>
          </w:p>
        </w:tc>
        <w:tc>
          <w:tcPr>
            <w:tcW w:w="2268" w:type="dxa"/>
            <w:vAlign w:val="center"/>
          </w:tcPr>
          <w:p>
            <w:pPr>
              <w:widowControl/>
              <w:jc w:val="center"/>
              <w:rPr>
                <w:rFonts w:ascii="宋体" w:hAnsi="宋体" w:cs="宋体"/>
                <w:sz w:val="24"/>
              </w:rPr>
            </w:pPr>
            <w:r>
              <w:rPr>
                <w:rFonts w:hint="eastAsia" w:ascii="宋体" w:hAnsi="宋体" w:cs="宋体"/>
                <w:sz w:val="24"/>
              </w:rPr>
              <w:t>5</w:t>
            </w:r>
          </w:p>
        </w:tc>
        <w:tc>
          <w:tcPr>
            <w:tcW w:w="2268" w:type="dxa"/>
            <w:vAlign w:val="center"/>
          </w:tcPr>
          <w:p>
            <w:pPr>
              <w:widowControl/>
              <w:jc w:val="center"/>
              <w:rPr>
                <w:rFonts w:ascii="宋体" w:hAnsi="宋体" w:cs="宋体"/>
                <w:sz w:val="24"/>
              </w:rPr>
            </w:pPr>
            <w:r>
              <w:rPr>
                <w:rFonts w:hint="eastAsia" w:ascii="宋体" w:hAnsi="宋体" w:cs="宋体"/>
                <w:sz w:val="24"/>
              </w:rPr>
              <w:t>4.98</w:t>
            </w:r>
          </w:p>
        </w:tc>
        <w:tc>
          <w:tcPr>
            <w:tcW w:w="2268" w:type="dxa"/>
            <w:vAlign w:val="center"/>
          </w:tcPr>
          <w:p>
            <w:pPr>
              <w:widowControl/>
              <w:jc w:val="center"/>
              <w:rPr>
                <w:rFonts w:ascii="宋体" w:hAnsi="宋体" w:cs="宋体"/>
                <w:sz w:val="24"/>
              </w:rPr>
            </w:pPr>
            <w:r>
              <w:rPr>
                <w:rFonts w:hint="eastAsia" w:ascii="宋体" w:hAnsi="宋体" w:cs="宋体"/>
                <w:sz w:val="24"/>
              </w:rPr>
              <w:t>99.60%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专项工作经费</w:t>
            </w:r>
          </w:p>
        </w:tc>
        <w:tc>
          <w:tcPr>
            <w:tcW w:w="2268" w:type="dxa"/>
            <w:vAlign w:val="center"/>
          </w:tcPr>
          <w:p>
            <w:pPr>
              <w:widowControl/>
              <w:jc w:val="center"/>
              <w:rPr>
                <w:rFonts w:ascii="宋体" w:hAnsi="宋体" w:cs="宋体"/>
                <w:kern w:val="0"/>
                <w:sz w:val="24"/>
              </w:rPr>
            </w:pPr>
            <w:r>
              <w:rPr>
                <w:rFonts w:hint="eastAsia" w:ascii="宋体" w:hAnsi="宋体" w:cs="宋体"/>
                <w:sz w:val="24"/>
              </w:rPr>
              <w:t>34.4</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34.4</w:t>
            </w:r>
          </w:p>
        </w:tc>
        <w:tc>
          <w:tcPr>
            <w:tcW w:w="2268" w:type="dxa"/>
            <w:vAlign w:val="center"/>
          </w:tcPr>
          <w:p>
            <w:pPr>
              <w:widowControl/>
              <w:jc w:val="center"/>
              <w:rPr>
                <w:rFonts w:ascii="宋体" w:hAnsi="宋体" w:cs="宋体"/>
                <w:sz w:val="24"/>
              </w:rPr>
            </w:pPr>
            <w:r>
              <w:rPr>
                <w:rFonts w:hint="eastAsia" w:ascii="宋体" w:hAnsi="宋体" w:cs="宋体"/>
                <w:sz w:val="24"/>
              </w:rPr>
              <w:t>34.4</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为农服务体系建设</w:t>
            </w:r>
          </w:p>
        </w:tc>
        <w:tc>
          <w:tcPr>
            <w:tcW w:w="2268" w:type="dxa"/>
            <w:vAlign w:val="center"/>
          </w:tcPr>
          <w:p>
            <w:pPr>
              <w:widowControl/>
              <w:jc w:val="center"/>
              <w:rPr>
                <w:rFonts w:ascii="宋体" w:hAnsi="宋体" w:cs="宋体"/>
                <w:kern w:val="0"/>
                <w:sz w:val="24"/>
              </w:rPr>
            </w:pPr>
            <w:r>
              <w:rPr>
                <w:rFonts w:hint="eastAsia" w:ascii="宋体" w:hAnsi="宋体" w:cs="宋体"/>
                <w:sz w:val="24"/>
              </w:rPr>
              <w:t>150</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150</w:t>
            </w:r>
          </w:p>
        </w:tc>
        <w:tc>
          <w:tcPr>
            <w:tcW w:w="2268" w:type="dxa"/>
            <w:vAlign w:val="center"/>
          </w:tcPr>
          <w:p>
            <w:pPr>
              <w:widowControl/>
              <w:jc w:val="center"/>
              <w:rPr>
                <w:rFonts w:ascii="宋体" w:hAnsi="宋体" w:cs="宋体"/>
                <w:sz w:val="24"/>
              </w:rPr>
            </w:pPr>
            <w:r>
              <w:rPr>
                <w:rFonts w:hint="eastAsia" w:ascii="宋体" w:hAnsi="宋体" w:cs="宋体"/>
                <w:sz w:val="24"/>
              </w:rPr>
              <w:t>146.7</w:t>
            </w:r>
          </w:p>
        </w:tc>
        <w:tc>
          <w:tcPr>
            <w:tcW w:w="2268" w:type="dxa"/>
            <w:vAlign w:val="center"/>
          </w:tcPr>
          <w:p>
            <w:pPr>
              <w:widowControl/>
              <w:jc w:val="center"/>
              <w:rPr>
                <w:rFonts w:ascii="宋体" w:hAnsi="宋体" w:cs="宋体"/>
                <w:sz w:val="24"/>
              </w:rPr>
            </w:pPr>
            <w:r>
              <w:rPr>
                <w:rFonts w:hint="eastAsia" w:ascii="宋体" w:hAnsi="宋体" w:cs="宋体"/>
                <w:sz w:val="24"/>
              </w:rPr>
              <w:t>97.80%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专项委托业务费</w:t>
            </w:r>
          </w:p>
        </w:tc>
        <w:tc>
          <w:tcPr>
            <w:tcW w:w="2268" w:type="dxa"/>
            <w:vAlign w:val="center"/>
          </w:tcPr>
          <w:p>
            <w:pPr>
              <w:widowControl/>
              <w:jc w:val="center"/>
              <w:rPr>
                <w:rFonts w:ascii="宋体" w:hAnsi="宋体" w:cs="宋体"/>
                <w:kern w:val="0"/>
                <w:sz w:val="24"/>
              </w:rPr>
            </w:pPr>
            <w:r>
              <w:rPr>
                <w:rFonts w:hint="eastAsia" w:ascii="宋体" w:hAnsi="宋体" w:cs="宋体"/>
                <w:sz w:val="24"/>
              </w:rPr>
              <w:t>12</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12</w:t>
            </w:r>
          </w:p>
        </w:tc>
        <w:tc>
          <w:tcPr>
            <w:tcW w:w="2268" w:type="dxa"/>
            <w:vAlign w:val="center"/>
          </w:tcPr>
          <w:p>
            <w:pPr>
              <w:widowControl/>
              <w:jc w:val="center"/>
              <w:rPr>
                <w:rFonts w:ascii="宋体" w:hAnsi="宋体" w:cs="宋体"/>
                <w:sz w:val="24"/>
              </w:rPr>
            </w:pPr>
            <w:r>
              <w:rPr>
                <w:rFonts w:hint="eastAsia" w:ascii="宋体" w:hAnsi="宋体" w:cs="宋体"/>
                <w:sz w:val="24"/>
              </w:rPr>
              <w:t>11.29</w:t>
            </w:r>
          </w:p>
        </w:tc>
        <w:tc>
          <w:tcPr>
            <w:tcW w:w="2268" w:type="dxa"/>
            <w:vAlign w:val="center"/>
          </w:tcPr>
          <w:p>
            <w:pPr>
              <w:widowControl/>
              <w:jc w:val="center"/>
              <w:rPr>
                <w:rFonts w:ascii="宋体" w:hAnsi="宋体" w:cs="宋体"/>
                <w:sz w:val="24"/>
              </w:rPr>
            </w:pPr>
            <w:r>
              <w:rPr>
                <w:rFonts w:hint="eastAsia" w:ascii="宋体" w:hAnsi="宋体" w:cs="宋体"/>
                <w:sz w:val="24"/>
              </w:rPr>
              <w:t>94.08%</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r>
              <w:rPr>
                <w:rFonts w:hint="eastAsia" w:ascii="宋体" w:hAnsi="宋体" w:cs="宋体"/>
                <w:b/>
                <w:bCs/>
                <w:kern w:val="0"/>
                <w:sz w:val="24"/>
              </w:rPr>
              <w:t/>
            </w: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加强所属再生资源行业管理和开展指导性工作，促进行业有序健康发展</w:t>
            </w:r>
          </w:p>
        </w:tc>
        <w:tc>
          <w:tcPr>
            <w:tcW w:w="3818" w:type="dxa"/>
            <w:vAlign w:val="center"/>
          </w:tcPr>
          <w:p>
            <w:pPr>
              <w:widowControl/>
              <w:jc w:val="center"/>
              <w:rPr>
                <w:rFonts w:ascii="宋体" w:hAnsi="宋体" w:cs="宋体"/>
                <w:sz w:val="24"/>
              </w:rPr>
            </w:pPr>
            <w:r>
              <w:rPr>
                <w:rFonts w:hint="eastAsia" w:ascii="宋体" w:hAnsi="宋体" w:cs="宋体"/>
                <w:sz w:val="24"/>
              </w:rPr>
              <w:t>再生资源网络体系建设</w:t>
            </w:r>
          </w:p>
        </w:tc>
        <w:tc>
          <w:tcPr>
            <w:tcW w:w="6280" w:type="dxa"/>
            <w:vAlign w:val="center"/>
          </w:tcPr>
          <w:p>
            <w:pPr>
              <w:widowControl/>
              <w:jc w:val="center"/>
              <w:rPr>
                <w:rFonts w:ascii="宋体" w:hAnsi="宋体" w:cs="宋体"/>
                <w:sz w:val="24"/>
              </w:rPr>
            </w:pPr>
            <w:r>
              <w:rPr>
                <w:rFonts w:hint="eastAsia" w:ascii="宋体" w:hAnsi="宋体" w:cs="宋体"/>
                <w:sz w:val="24"/>
              </w:rPr>
              <w:t>指导建设2个再生资源网点、完成7563.38吨低值可回收指标，举办15次公益性宣传，开展3次调研学习活动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农产品经纪人培训工作</w:t>
            </w:r>
          </w:p>
        </w:tc>
        <w:tc>
          <w:tcPr>
            <w:tcW w:w="3818" w:type="dxa"/>
            <w:vAlign w:val="center"/>
          </w:tcPr>
          <w:p>
            <w:pPr>
              <w:widowControl/>
              <w:jc w:val="center"/>
              <w:rPr>
                <w:rFonts w:ascii="宋体" w:hAnsi="宋体" w:cs="宋体"/>
                <w:sz w:val="24"/>
              </w:rPr>
            </w:pPr>
            <w:r>
              <w:rPr>
                <w:rFonts w:hint="eastAsia" w:ascii="宋体" w:hAnsi="宋体" w:cs="宋体"/>
                <w:sz w:val="24"/>
              </w:rPr>
              <w:t>农产品经纪人培训</w:t>
            </w:r>
          </w:p>
        </w:tc>
        <w:tc>
          <w:tcPr>
            <w:tcW w:w="6280" w:type="dxa"/>
            <w:vAlign w:val="center"/>
          </w:tcPr>
          <w:p>
            <w:pPr>
              <w:widowControl/>
              <w:jc w:val="center"/>
              <w:rPr>
                <w:rFonts w:ascii="宋体" w:hAnsi="宋体" w:cs="宋体"/>
                <w:sz w:val="24"/>
              </w:rPr>
            </w:pPr>
            <w:r>
              <w:rPr>
                <w:rFonts w:hint="eastAsia" w:ascii="宋体" w:hAnsi="宋体" w:cs="宋体"/>
                <w:sz w:val="24"/>
              </w:rPr>
              <w:t>举办苏州市农产品经纪人培训，培训60余人，培养对象合格率100%，持续加强苏州农产品流通人才培养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指导和组织重要农业生产资料等重要商品的储备、供应和行业管理</w:t>
            </w:r>
          </w:p>
        </w:tc>
        <w:tc>
          <w:tcPr>
            <w:tcW w:w="3818" w:type="dxa"/>
            <w:vAlign w:val="center"/>
          </w:tcPr>
          <w:p>
            <w:pPr>
              <w:widowControl/>
              <w:jc w:val="center"/>
              <w:rPr>
                <w:rFonts w:ascii="宋体" w:hAnsi="宋体" w:cs="宋体"/>
                <w:sz w:val="24"/>
              </w:rPr>
            </w:pPr>
            <w:r>
              <w:rPr>
                <w:rFonts w:hint="eastAsia" w:ascii="宋体" w:hAnsi="宋体" w:cs="宋体"/>
                <w:sz w:val="24"/>
              </w:rPr>
              <w:t>完成年度市级化肥储备任务</w:t>
            </w:r>
          </w:p>
        </w:tc>
        <w:tc>
          <w:tcPr>
            <w:tcW w:w="6280" w:type="dxa"/>
            <w:vAlign w:val="center"/>
          </w:tcPr>
          <w:p>
            <w:pPr>
              <w:widowControl/>
              <w:jc w:val="center"/>
              <w:rPr>
                <w:rFonts w:ascii="宋体" w:hAnsi="宋体" w:cs="宋体"/>
                <w:sz w:val="24"/>
              </w:rPr>
            </w:pPr>
            <w:r>
              <w:rPr>
                <w:rFonts w:hint="eastAsia" w:ascii="宋体" w:hAnsi="宋体" w:cs="宋体"/>
                <w:sz w:val="24"/>
              </w:rPr>
              <w:t>2025年委托张家港、太仓、吴中三地企业开展了1200吨市级化肥储备任务，完成了市发展改革委员会关于2025年苏州市价格调控重点任务清单中关于“落实市级化肥储备1200吨”的要求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完善为农服务体系</w:t>
            </w:r>
          </w:p>
        </w:tc>
        <w:tc>
          <w:tcPr>
            <w:tcW w:w="6280" w:type="dxa"/>
            <w:vAlign w:val="center"/>
          </w:tcPr>
          <w:p>
            <w:pPr>
              <w:widowControl/>
              <w:jc w:val="center"/>
              <w:rPr>
                <w:rFonts w:ascii="宋体" w:hAnsi="宋体" w:cs="宋体"/>
                <w:sz w:val="24"/>
              </w:rPr>
            </w:pPr>
            <w:r>
              <w:rPr>
                <w:rFonts w:hint="eastAsia" w:ascii="宋体" w:hAnsi="宋体" w:cs="宋体"/>
                <w:sz w:val="24"/>
              </w:rPr>
              <w:t>举办农业社会化服务培训6次，开展调研1次，宣传1次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减少农业面源污染</w:t>
            </w:r>
          </w:p>
        </w:tc>
        <w:tc>
          <w:tcPr>
            <w:tcW w:w="6280" w:type="dxa"/>
            <w:vAlign w:val="center"/>
          </w:tcPr>
          <w:p>
            <w:pPr>
              <w:widowControl/>
              <w:jc w:val="center"/>
              <w:rPr>
                <w:rFonts w:ascii="宋体" w:hAnsi="宋体" w:cs="宋体"/>
                <w:sz w:val="24"/>
              </w:rPr>
            </w:pPr>
            <w:r>
              <w:rPr>
                <w:rFonts w:hint="eastAsia" w:ascii="宋体" w:hAnsi="宋体" w:cs="宋体"/>
                <w:sz w:val="24"/>
              </w:rPr>
              <w:t>持续开展农药包装废弃物和农膜的回收工作，本年度废旧农膜回收率、农药包装废弃物回收率达98%，有效减少了农业面源污染风险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 xml:space="preserve">组织指导农产品市场建设 </w:t>
            </w:r>
          </w:p>
        </w:tc>
        <w:tc>
          <w:tcPr>
            <w:tcW w:w="3818" w:type="dxa"/>
            <w:vAlign w:val="center"/>
          </w:tcPr>
          <w:p>
            <w:pPr>
              <w:widowControl/>
              <w:jc w:val="center"/>
              <w:rPr>
                <w:rFonts w:ascii="宋体" w:hAnsi="宋体" w:cs="宋体"/>
                <w:sz w:val="24"/>
              </w:rPr>
            </w:pPr>
            <w:r>
              <w:rPr>
                <w:rFonts w:hint="eastAsia" w:ascii="宋体" w:hAnsi="宋体" w:cs="宋体"/>
                <w:sz w:val="24"/>
              </w:rPr>
              <w:t>农产品流通体系建设和举办产销对接活动</w:t>
            </w:r>
          </w:p>
        </w:tc>
        <w:tc>
          <w:tcPr>
            <w:tcW w:w="6280" w:type="dxa"/>
            <w:vAlign w:val="center"/>
          </w:tcPr>
          <w:p>
            <w:pPr>
              <w:widowControl/>
              <w:jc w:val="center"/>
              <w:rPr>
                <w:rFonts w:ascii="宋体" w:hAnsi="宋体" w:cs="宋体"/>
                <w:sz w:val="24"/>
              </w:rPr>
            </w:pPr>
            <w:r>
              <w:rPr>
                <w:rFonts w:hint="eastAsia" w:ascii="宋体" w:hAnsi="宋体" w:cs="宋体"/>
                <w:sz w:val="24"/>
              </w:rPr>
              <w:t>举办全国优质农产品推介会6次，“三进二服务”助农惠民微展销活动30场，参加展商超600家次；新接入5家农民专业合作社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赴外地开展产销对接</w:t>
            </w:r>
          </w:p>
        </w:tc>
        <w:tc>
          <w:tcPr>
            <w:tcW w:w="6280" w:type="dxa"/>
            <w:vAlign w:val="center"/>
          </w:tcPr>
          <w:p>
            <w:pPr>
              <w:widowControl/>
              <w:jc w:val="center"/>
              <w:rPr>
                <w:rFonts w:ascii="宋体" w:hAnsi="宋体" w:cs="宋体"/>
                <w:sz w:val="24"/>
              </w:rPr>
            </w:pPr>
            <w:r>
              <w:rPr>
                <w:rFonts w:hint="eastAsia" w:ascii="宋体" w:hAnsi="宋体" w:cs="宋体"/>
                <w:sz w:val="24"/>
              </w:rPr>
              <w:t>赴新疆克州、辽宁锦州开展对口合作考察调研2次，进一步深化共识合作</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r>
              <w:rPr>
                <w:rFonts w:hint="eastAsia" w:ascii="宋体" w:hAnsi="宋体" w:cs="宋体"/>
                <w:b/>
                <w:bCs/>
                <w:kern w:val="0"/>
                <w:sz w:val="24"/>
              </w:rPr>
              <w:t/>
            </w: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年度工作计划</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年度工作计划</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《2025年部门整体预算绩效目标表》</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《2025年部门整体预算绩效目标表》</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《2025年部门整体预算绩效目标表》</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《2025年部门整体预算绩效目标表》</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《2025年度部门整体预算绩效目标表、单位项目预算绩效目标表》</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《苏州市供销合作总社财务管理制度》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《苏州市供销合作总社财务管理制度》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市社官网公开链接、预决算平台公开链接</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《苏州市供销合作总社财务管理制度》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《苏州市供销合作总社财务管理制度》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《苏州市供销合作总社固定资产管理制度》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《苏州市供销合作总社固定资产管理制度》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《苏州市供销合作总社固定资产管理制度》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《苏州市供销合作总社内控制度》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99.91%</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预算一体化平台数据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-0.09%</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预算一体化平台数据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预算一体化平台数据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预算一体化平台数据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预算一体化平台数据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预算一体化平台数据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预算一体化平台数据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预算一体化平台数据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预算一体化平台数据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新型农资宣传推广成效</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明显</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明显</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农产品经纪人素质提升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较好</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较好</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对口消费帮扶作用</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较好</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较好</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活跃经济、促进消费作用</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较好</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较好</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提升居民环保参与度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&gt;=60%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65%</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8.33%</w:t>
            </w:r>
          </w:p>
        </w:tc>
        <w:tc>
          <w:tcPr>
            <w:tcW w:w="1071" w:type="dxa"/>
          </w:tcPr>
          <w:p>
            <w:pPr>
              <w:spacing w:line="360" w:lineRule="auto"/>
              <w:rPr>
                <w:rFonts w:ascii="宋体" w:hAnsi="宋体" w:cs="宋体"/>
                <w:kern w:val="0"/>
                <w:sz w:val="22"/>
              </w:rPr>
            </w:pPr>
            <w:r>
              <w:rPr>
                <w:rFonts w:hint="eastAsia" w:ascii="宋体" w:hAnsi="宋体" w:cs="宋体"/>
                <w:sz w:val="24"/>
              </w:rPr>
              <w:t>完成值高于既定目标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服务农民市民水平</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提升</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提升</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满意度</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再生资源工作问卷调查满意度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&gt;=80%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12.50%</w:t>
            </w:r>
          </w:p>
        </w:tc>
        <w:tc>
          <w:tcPr>
            <w:tcW w:w="1071" w:type="dxa"/>
          </w:tcPr>
          <w:p>
            <w:pPr>
              <w:spacing w:line="360" w:lineRule="auto"/>
              <w:rPr>
                <w:rFonts w:ascii="宋体" w:hAnsi="宋体" w:cs="宋体"/>
                <w:kern w:val="0"/>
                <w:sz w:val="22"/>
              </w:rPr>
            </w:pPr>
            <w:r>
              <w:rPr>
                <w:rFonts w:hint="eastAsia" w:ascii="宋体" w:hAnsi="宋体" w:cs="宋体"/>
                <w:sz w:val="24"/>
              </w:rPr>
              <w:t>完成值高于既定目标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农产品经纪人培训受训学员满意度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赴外地开展产销对接次数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农药集中配送率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95%</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5.56%</w:t>
            </w:r>
          </w:p>
        </w:tc>
        <w:tc>
          <w:tcPr>
            <w:tcW w:w="1071" w:type="dxa"/>
          </w:tcPr>
          <w:p>
            <w:pPr>
              <w:spacing w:line="360" w:lineRule="auto"/>
              <w:rPr>
                <w:rFonts w:ascii="宋体" w:hAnsi="宋体" w:cs="宋体"/>
                <w:kern w:val="0"/>
                <w:sz w:val="22"/>
              </w:rPr>
            </w:pPr>
            <w:r>
              <w:rPr>
                <w:rFonts w:hint="eastAsia" w:ascii="宋体" w:hAnsi="宋体" w:cs="宋体"/>
                <w:sz w:val="24"/>
              </w:rPr>
              <w:t>完成值高于既定目标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再生资源及垃圾分类进社区宣传次数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&gt;=12次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15次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25.00%</w:t>
            </w:r>
          </w:p>
        </w:tc>
        <w:tc>
          <w:tcPr>
            <w:tcW w:w="1071" w:type="dxa"/>
          </w:tcPr>
          <w:p>
            <w:pPr>
              <w:spacing w:line="360" w:lineRule="auto"/>
              <w:rPr>
                <w:rFonts w:ascii="宋体" w:hAnsi="宋体" w:cs="宋体"/>
                <w:kern w:val="0"/>
                <w:sz w:val="22"/>
              </w:rPr>
            </w:pPr>
            <w:r>
              <w:rPr>
                <w:rFonts w:hint="eastAsia" w:ascii="宋体" w:hAnsi="宋体" w:cs="宋体"/>
                <w:sz w:val="24"/>
              </w:rPr>
              <w:t>完成值高于既定目标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开展再生资源交流活动</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&gt;=3次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3次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展示展销中心线上线下推广活动次数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&gt;=6次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6次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农产品经纪人培训人数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=60人</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60人</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市级年度化肥储备任务量</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&gt;=1200吨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1200吨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农药包装废弃物回收率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&gt;=85%</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98%</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15.29%</w:t>
            </w:r>
          </w:p>
        </w:tc>
        <w:tc>
          <w:tcPr>
            <w:tcW w:w="1071" w:type="dxa"/>
          </w:tcPr>
          <w:p>
            <w:pPr>
              <w:spacing w:line="360" w:lineRule="auto"/>
              <w:rPr>
                <w:rFonts w:ascii="宋体" w:hAnsi="宋体" w:cs="宋体"/>
                <w:kern w:val="0"/>
                <w:sz w:val="22"/>
              </w:rPr>
            </w:pPr>
            <w:r>
              <w:rPr>
                <w:rFonts w:hint="eastAsia" w:ascii="宋体" w:hAnsi="宋体" w:cs="宋体"/>
                <w:sz w:val="24"/>
              </w:rPr>
              <w:t>完成值高于既定目标</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numbering.xml" Type="http://schemas.openxmlformats.org/officeDocument/2006/relationships/numbering"/>
<Relationship Id="rId11" Target="fontTable.xml" Type="http://schemas.openxmlformats.org/officeDocument/2006/relationships/fontTable"/>
<Relationship Id="rId2" Target="settings.xml" Type="http://schemas.openxmlformats.org/officeDocument/2006/relationships/settings"/>
<Relationship Id="rId3" Target="header1.xml" Type="http://schemas.openxmlformats.org/officeDocument/2006/relationships/header"/>
<Relationship Id="rId4" Target="header2.xml" Type="http://schemas.openxmlformats.org/officeDocument/2006/relationships/header"/>
<Relationship Id="rId5" Target="footer1.xml" Type="http://schemas.openxmlformats.org/officeDocument/2006/relationships/footer"/>
<Relationship Id="rId6" Target="footer2.xml" Type="http://schemas.openxmlformats.org/officeDocument/2006/relationships/footer"/>
<Relationship Id="rId7" Target="header3.xml" Type="http://schemas.openxmlformats.org/officeDocument/2006/relationships/header"/>
<Relationship Id="rId8" Target="footer3.xml" Type="http://schemas.openxmlformats.org/officeDocument/2006/relationships/footer"/>
<Relationship Id="rId9"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木木三</cp:lastModifiedBy>
  <cp:lastPrinted>2019-06-21T02:10:00Z</cp:lastPrinted>
  <dcterms:modified xsi:type="dcterms:W3CDTF">2026-02-27T08:35:46Z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