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苏州市供销合作总社</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宣传贯彻党中央和国务院、省委和省政府、市委和市政府有关农村经济工作和社会发展的方针政策，研究制定全市合作经济的发展战略和发展规划，参与有关法规和政策的制定，指导全市供销社的工作，促进合作经济的发展。</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(二)根据全市农业产业结构调整的大局，参与农业产业化建设，指导发展各类专业合作社、专业协会和农村经纪人队伍，组织、协调农业生产资料和防汛物资等重要商品的供应及农副产品收购工作。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(三)向市政府和有关部门反映农民社员和供销合作社的意见和要求，协调与政府有关部门及其他社会组织的关系，维护各级供销社的合法权益。</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(四)指导全市供销社的组织建设，密切同农民的联系，协调社员社之间的关系。</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(五)协同各县级市、区党委做好县级市、区供销社主任的配备调整、考核考察工作。指导全市供销社系统的组织队伍建设和人才开发工作；组织指导对各级供销社干部和职工的教育培训。</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(六)管理运营本级社资产，对社办企业按出资额依法享有所有者资产受益、重大决策和选择管理者的权利，监督本级社社有资产，指导全市各级供销社社有资产的管理。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(七)受有关部门委托，对有关行业、学科或业务范围内的全市性社会团体履行业务主管单位的监督管理职能。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(八)代表市内供销社系统与国际经济组织和社会团体等开展经济、贸易、技术、人才交流，签订合资合作协议，接受捐赠、资助。组织协调和指导系统的外经外贸工作。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(九)承办市委、市政府和上级社交办的其他事项。</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（1）办公室；（2）组织人事处；（3）经济发展处；（4）合作指导处；（5）财务审计处；（6）再生资源管理处。另外，按规定设置监事会办公室、机关党委、机关纪委、工会。</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全系统全年销售总额（含开放办社企业）达777.11亿元，农（副）产品批发市场交易额突破205亿元；实现农药集中配供超1.64亿元，肥药集采统配面积78万亩，农业社会化服务229万亩次，为乡村振兴注入了强劲动能。</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党建领航把方向，作风建设见真章。全系统始终将政治建设摆在首位，以高质量党建保障高质量发展。深入学习贯彻党的二十届四中全会精神，通过党组理论学习中心组学习、交流研讨发言、举办专题培训班等形式，系统性组织深入学习，结合实际谋划好当前和今后的工作思路。召开党风廉政工作会议，制定年度全面从严治党工作要点，开展廉政谈话、警示教育、“走馆访廉”等，排查廉政风险点31条，制定防控措施22条。全系统举办各类培训3381人次，其中农村实用人才1256人次、基层社主任128人次，引导广大干部职工面对新形势、新任务积极识变应变求变，营造以学习促提升的热烈氛围。</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是深耕农业生产，筑牢为农服务根基。充分发挥农资流通主渠道作用，全力服务保障国家粮食安全。全年推广测土配方肥4.96万吨、有机肥和生物农药等新型肥药1.79万吨，落实市级化肥储备1200吨。深入贯彻习近平生态文明思想，践行“两山”理念，助力绿色农业，依托6家农资公司和174家门店，全年回收农药包装废弃物3440万件、无害化处置率100%，回收废旧农膜1455吨，有效减少农业面源污染。为农服务提质扩面。建成县域农资中心和农服中心9个，紧盯稻麦耕、种、管、收、销产业链的全流程，积极探索创新服务模式。全年完成拌种服务610吨、育秧1.5万亩、烘干1.7万吨。</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是畅通产销对接，激活市场流通动能。依托市社农产品展示展销中心，将线下“苏州供销大集”与线上“吴地侬香”展销深度融入“时味苏州”区域性品牌建设，整合全市优质农（副）产品资源，助力产业增效、农民增收。构建“市—县—镇—村”四级流通网络，创新“市级统筹、县域联动”双会场模式，形成全域覆盖的展示展销体系。。与工商银行、中信银行战略合作，工行提供50亿元普惠助农专项授信额度。与邮政、顺丰、有线电视合作推广“交邮快供线”模式，促进优势互补，提升农（副）产品运输效率。做优对口帮扶。构建“电商+网点+专区”消费帮扶矩阵，实现销售额5917.3万元，开展产销对接活动240余场，签订协议66份，在信阳等地举办推介活动，达成意向采购5470万元，相关经验获市政府领导批示肯定。</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是夯实组织体系，提升系统治理效能。制度建设持续完善。出台《苏州市供销合作总社理事会工作规则（试行）》和《苏州市供销合作总社关于完善监事会监督工作机制的意见》，指导常熟、张家港市社召开社员代表大会，选举产生新一届理（监）事会。基层组织提质增效。推进“千县千社质量提升行动”，创建2家示范基层社，改造7家基层社，提升8家农村综合服务社。资产盘活释放效能。深化综合改革，活化资产利用，丰富供销新业态。苏州市社与名城集团、城投住房租赁公司签订三方协议，完善资产盘活利用。</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是统筹安全发展，筑牢稳定屏障。安全生产责任压实。深入贯彻党组国家安全工作责任制和安全生产责任制，牢固树立安全发展观念，召开专题会议部署安全工作。完善应急预案，加强应急物资储备和演练，全年实现安全生产“零事故”。内控建设持续优化。制定《内部控制建设工作实施方案》，完善收支管理、政府采购、资产管理等制度。再生资源体系全面构建。积极响应“两新”部署，指导构建“固定+流动+在线”多元化回收模式，服务绿色循环发展。率先介入“公物仓”废旧物资回收处置，2025年累计集中处置2590件、120余吨，节约财政支出超35万元。</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苏州市供销合作总社</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苏州市供销合作总社</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2,289.01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3.96</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0.03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364.78</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1.67</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146.70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1,120.90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648.83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2,289.03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2,286.85</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2.19</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2,289.03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2,289.03</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2,289.03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2,289.01</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0.03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其他共产党事务支出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364.78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364.78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347.30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347.30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182.24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182.24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109.01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109.01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51.49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51.49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4.57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4.57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17.48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17.48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农林水支出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农业农村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2130124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农村合作经济</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146.70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商业服务业等支出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1,123.09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1,123.06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商业流通事务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1,123.09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1,123.06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2160201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1,071.79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1,071.76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0.03</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2160202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51.30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51.30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648.83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648.83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648.83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648.83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129.16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129.16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385.38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385.38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134.29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134.29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2,286.85</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2,078.65</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208.20</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其他共产党事务支出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364.78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360.21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4.57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347.30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342.74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4.57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182.24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182.24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109.01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109.01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51.49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51.49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4.57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4.57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17.48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17.48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17.48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农林水支出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农业农村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2130124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农村合作经济</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146.70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商业服务业等支出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1,120.90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1,069.60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51.30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商业流通事务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1,120.90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1,069.60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51.30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2160201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1,069.60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1,069.60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2160202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51.30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51.30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648.83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648.83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648.83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648.83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129.16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129.16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385.38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385.38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134.29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134.29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2,289.01</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3.96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3.96</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364.78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364.78</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1.67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1.67</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146.70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146.70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1,120.90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1,120.90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648.83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648.83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2,289.01</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2,286.85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2,286.85</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2.16</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2.16</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2,289.01</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2,289.01</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2,289.01</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2,286.85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2,078.65</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208.20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其他共产党事务支出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2013602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364.78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360.21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347.30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342.74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182.24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182.24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109.01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109.01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51.49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51.49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17.48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17.48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17.48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农林水支出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146.70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146.70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农业农村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146.70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146.70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2130124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农村合作经济</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146.70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146.70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商业服务业等支出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1,120.90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1,069.60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51.30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21602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商业流通事务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1,120.90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1,069.60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51.30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2160201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1,069.60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1,069.60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2160202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51.30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51.30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648.83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648.83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648.83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648.83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129.16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129.16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385.38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385.38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134.29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134.29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2,078.65</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1,914.40</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164.25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1,418.81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1,418.81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185.32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185.32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497.22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497.22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304.59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304.59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109.01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109.01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51.49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51.49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34.40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34.40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25.42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25.42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129.16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129.16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80.51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80.51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164.25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164.25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17.39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17.39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0.43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0.43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5.87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28.46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0.20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1.60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0.20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1.37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15.00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8.83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8.83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28.97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28.97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45.93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45.93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495.59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495.59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116.19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116.19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361.34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361.34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17.48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17.48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0.02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0.58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0.58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2,286.85</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2,078.65</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208.20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其他共产党事务支出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2013602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364.78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360.21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4.57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347.30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342.74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4.57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182.24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182.24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109.01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109.01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51.49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51.49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4.57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17.48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17.48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17.48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农林水支出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146.70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146.70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农业农村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146.70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146.70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2130124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农村合作经济</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146.70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146.70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商业服务业等支出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1,120.90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1,069.60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51.30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21602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商业流通事务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1,120.90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1,069.60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51.30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2160201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1,069.60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1,069.60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2160202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51.30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51.30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648.83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648.83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648.83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648.83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129.16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129.16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385.38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385.38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134.29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134.29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2,078.65</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1,914.40</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164.25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1,418.81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1,418.81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185.32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185.32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497.22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497.22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304.59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304.59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109.01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109.01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51.49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51.49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34.40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34.40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25.42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25.42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129.16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129.16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80.51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80.51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164.25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164.25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17.39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17.39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0.43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0.43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5.87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5.87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28.46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0.20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0.20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1.60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0.20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0.20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1.37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15.00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8.83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8.83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28.97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28.97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45.93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45.93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495.59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495.59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116.19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116.19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361.34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361.34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17.48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17.48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0.02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0.58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0.58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4.50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4.50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5.50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2.00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1.37</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1.37</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1.60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0.20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12</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103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6</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151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5</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164.25</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164.25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17.39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0.43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1.50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5.87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28.46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0.20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1.60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0.20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1.37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15.00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8.83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28.97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3.50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45.93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苏州市供销合作总社</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
      </w:r>
    </w:p>
    <w:p w14:paraId="2AF34E11">
      <w:pPr>
        <w:ind w:left="440" w:leftChars="200"/>
        <w:jc w:val="both"/>
        <w:rPr>
          <w:rFonts w:hint="eastAsia" w:ascii="仿宋" w:hAnsi="仿宋" w:eastAsia="仿宋" w:cs="仿宋"/>
          <w:lang w:val="en-US"/>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无政府采购支出决算</w:t>
      </w:r>
      <w:r>
        <w:rPr>
          <w:rFonts w:hint="eastAsia" w:ascii="仿宋" w:hAnsi="仿宋" w:eastAsia="仿宋" w:cs="仿宋"/>
          <w:lang w:val="en-US"/>
        </w:rPr>
        <w:t>，</w:t>
      </w:r>
      <w:r>
        <w:rPr>
          <w:rFonts w:hint="eastAsia" w:ascii="仿宋" w:hAnsi="仿宋" w:eastAsia="仿宋" w:cs="仿宋"/>
        </w:rPr>
        <w:t>故本表为空。</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2025年度收入、支出决算总计2,289.03万元。与上年相比，收、支总计各增加114.96万元，增长5.29%。其中：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（一）收入决算总计2,289.03万元。包括：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1.本年收入决算合计2,289.03万元。与上年相比，增加114.96万元，增长5.29%，变动原因：人员调入导致人员经费增加。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（二）支出决算总计2,289.03万元。包括：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1.本年支出决算合计2,286.85万元。与上年相比，增加125.49万元，增长5.81%，变动原因：人员调入导致人员支出增加。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3.年末结转和结余2.19万元。结转和结余事项：基本支出结余2.19万元。与上年相比，减少10.52万元，减少82.77%，变动原因：资金使用效率提升，结转结余减少。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2,289.03万元，其中：财政拨款收入2,289.01万元，占100%（该占比四舍五入后为100%）；上级补助收入0万元，占0%；财政专户管理教育收费0万元，占0%；事业收入（不含专户管理教育收费）0万元，占0%；经营收入0万元，占0%；附属单位上缴收入0万元，占0%；其他收入0.03万元，占0%（该占比四舍五入后为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2025年度本年支出决算合计2,286.85万元，其中：基本支出2,078.65万元，占90.9%；项目支出208.2万元，占9.1%；上缴上级支出0万元，占0%；经营支出0万元，占0%；对附属单位补助支出0万元，占0%。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2025年度财政拨款收入、支出决算总计2,289.01万元。与上年相比，收、支总计各增加115.05万元，增长5.29%，变动原因：人员调入导致人员经费收支较上年增加。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2025年度财政拨款支出决算2,286.85万元，占本年支出合计的100%。与2025年度财政拨款支出年初预算1,899.33万元相比，完成年初预算的120.4%。其中：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（一）一般公共服务支出（类）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其他共产党事务支出（款）一般行政管理事务（项）。年初预算0万元，支出决算3.96万元，（年初预算数为0万元，无法计算完成比率）决算数与年初预算数的差异原因：年中按照相关规定追加离休干部就地自助疗养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1.行政事业单位养老支出（款）行政单位离退休（项）。年初预算73.65万元，支出决算182.24万元，完成年初预算的247.44%。决算数与年初预算数的差异原因：年中按照相关规定追加离退休费。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94.45万元，支出决算109.01万元，完成年初预算的115.42%。决算数与年初预算数的差异原因：因人员调入年中追加机关事业单位基本养老保险缴费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44.57万元，支出决算51.49万元，完成年初预算的115.53%。决算数与年初预算数的差异原因：因人员调入年中追加机关事业单位职业年金缴费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行政事业单位养老支出（款）其他行政事业单位养老支出（项）。年初预算0万元，支出决算4.57万元，（年初预算数为0万元，无法计算完成比率）决算数与年初预算数的差异原因：归口管理企业离休人员经费年初单位预算未安排，年中由市级统筹安排。</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5.抚恤（款）死亡抚恤（项）。年初预算0万元，支出决算17.48万元，（年初预算数为0万元，无法计算完成比率）决算数与年初预算数的差异原因：年中按照规定追加离退休干部丧葬抚恤费用。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其他卫生健康支出（款）其他卫生健康支出（项）。年初预算0万元，支出决算1.67万元，（年初预算数为0万元，无法计算完成比率）决算数与年初预算数的差异原因：年中按照相关规定追加干部居家疗养费。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（四）农林水支出（类）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农业农村（款）农村合作经济（项）。年初预算150万元，支出决算146.7万元，完成年初预算的97.8%。决算数与年初预算数的差异原因：完成项目年度各项工作后资金小额结余。</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（五）商业服务业等支出（类）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1.商业流通事务（款）行政运行（项）。年初预算845.15万元，支出决算1,069.6万元，完成年初预算的126.56%。决算数与年初预算数的差异原因：人员调入追加人员经费。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2.商业流通事务（款）一般行政管理事务（项）。年初预算116.32万元，支出决算51.3万元，完成年初预算的44.1%。决算数与年初预算数的差异原因：年中物业管理费按规定调整。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1.住房改革支出（款）住房公积金（项）。年初预算108.38万元，支出决算129.16万元，完成年初预算的119.17%。决算数与年初预算数的差异原因：公积金基数调整，年中追加资金。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2.住房改革支出（款）提租补贴（项）。年初预算261.83万元，支出决算385.38万元，完成年初预算的147.19%。决算数与年初预算数的差异原因：年中支出功能分类科目调整，以及退休人员调整提租补贴。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3.住房改革支出（款）购房补贴（项）。年初预算204.98万元，支出决算134.29万元，完成年初预算的65.51%。决算数与年初预算数的差异原因：年中支出功能分类科目调整，以及在职人员调整购房补贴。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2025年度财政拨款基本支出决算2,078.65万元，其中：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（一）人员经费1,914.4万元。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公务员医疗补助缴费、其他社会保障缴费、住房公积金、其他工资福利支出、离休费、退休费、抚恤金、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（二）公用经费164.25万元。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主要包括：办公费、印刷费、水费、电费、邮电费、差旅费、维修（护）费、会议费、培训费、公务接待费、工会经费、福利费、其他交通费用、税金及附加费用、其他商品和服务支出。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2025年度一般公共预算财政拨款支出决算2,286.85万元。与上年相比，增加125.49万元，增长5.81%，变动原因：人员调入导致人员支出增加。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2025年度一般公共预算财政拨款基本支出决算2,078.65万元，其中：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（一）人员经费1,914.4万元。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公务员医疗补助缴费、其他社会保障缴费、住房公积金、其他工资福利支出、离休费、退休费、抚恤金、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（二）公用经费164.25万元。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主要包括：办公费、印刷费、水费、电费、邮电费、差旅费、维修（护）费、会议费、培训费、公务接待费、工会经费、福利费、其他交通费用、税金及附加费用、其他商品和服务支出。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1.37万元（其中：一般公共预算支出1.37万元；政府性基金预算支出0万元；国有资本经营预算支出0万元）。与上年相比，减少0.29万元，变动原因：严格落实过紧日子要求，厉行节约。其中，因公出国（境）费支出0万元，占“三公”经费的0%；公务用车购置及运行维护费支出0万元，占“三公”经费的0%；公务接待费支出1.37万元，占“三公”经费的100%。2025年度财政拨款“三公”经费支出预算4.5万元（其中：一般公共预算支出4.5万元；政府性基金预算支出0万元；国有资本经营预算支出0万元）。决算数与预算数的差异原因：根据工作需要，按照相关规定开支。</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4.5万元（其中：一般公共预算支出4.5万元；政府性基金预算支出0万元；国有资本经营预算支出0万元），支出决算1.37万元（其中：一般公共预算支出1.37万元；政府性基金预算支出0万元；国有资本经营预算支出0万元），完成调整后预算的30.44%，决算数与预算数的差异原因：根据工作需要，按照相关规定开支。其中：国内公务接待支出1.37万元，接待12批次，103人次，开支内容：接待省社及省内外兄弟市社、对口帮扶地区供销社来苏调研学习；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5.5万元（其中：一般公共预算支出5.5万元；政府性基金预算支出0万元；国有资本经营预算支出0万元），支出决算1.6万元（其中：一般公共预算支出1.6万元；政府性基金预算支出0万元；国有资本经营预算支出0万元），完成调整后预算的29.09%，决算数与预算数的差异原因：根据工作需要，按照相关规定开支。2025年度全年召开会议6个，参加会议151人次，开支内容：召开系统理事会监事会、系统经济工作分析会、系统办公室主任会议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2万元（其中：一般公共预算支出2万元；政府性基金预算支出0万元；国有资本经营预算支出0万元），支出决算0.2万元（其中：一般公共预算支出0.2万元；政府性基金预算支出0万元；国有资本经营预算支出0万元），完成调整后预算的10%，决算数与预算数的差异原因：根据工作需要，按照相关规定开支。2025年度全年组织培训2个，组织培训5人次，开支内容：工勤人员继续教育培训、中级工培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164.25万元（其中：一般公共预算支出164.25万元；政府性基金预算支出0万元；国有资本经营预算支出0万元）。与上年相比，增加45.15万元，增长37.91%，变动原因：党团活动经费、伙食经费、体检费等项目纳入机关运行经费支出统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2025年度政府采购支出总额0万元，其中：政府采购货物支出0万元、政府采购工程支出0万元、政府采购服务支出0万元。政府采购授予中小企业合同金额0万元，其中：授予小微企业合同金额0万元。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本单位共对上年度已实施完成的5个项目开展了绩效自评价，涉及财政性资金合计208.2万元；本单位共开展1项单位整体支出绩效自评价，涉及财政性资金合计2,286.85万元。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十九、一般公共服务支出(类)其他共产党事务支出(款)一般行政管理事务(项)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二十三、社会保障和就业支出(类)行政事业单位养老支出(款)其他行政事业单位养老支出(项)</w:t>
      </w:r>
      <w:r>
        <w:rPr>
          <w:b w:val="on"/>
          <w:rFonts w:ascii="仿宋" w:eastAsia="仿宋" w:hAnsi="仿宋" w:cs="仿宋"/>
          <w:u w:color="auto"/>
        </w:rPr>
        <w:t>：</w:t>
      </w:r>
      <w:r>
        <w:rPr>
          <w:rFonts w:hint="eastAsia" w:ascii="仿宋" w:hAnsi="仿宋" w:eastAsia="仿宋" w:cs="仿宋"/>
        </w:rPr>
        <w:t>反映除上述项目以外其他用于行政事业单位养老方面的支出。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二十四、社会保障和就业支出(类)抚恤(款)死亡抚恤(项)</w:t>
      </w:r>
      <w:r>
        <w:rPr>
          <w:b w:val="on"/>
          <w:rFonts w:ascii="仿宋" w:eastAsia="仿宋" w:hAnsi="仿宋" w:cs="仿宋"/>
          <w:u w:color="auto"/>
        </w:rPr>
        <w:t>：</w:t>
      </w:r>
      <w:r>
        <w:rPr>
          <w:rFonts w:hint="eastAsia" w:ascii="仿宋" w:hAnsi="仿宋" w:eastAsia="仿宋" w:cs="仿宋"/>
        </w:rPr>
        <w:t>反映按规定用于烈士和牺牲、病故人员家属的一次性和定期抚恤金、丧葬补助费以及烈士褒扬金。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二十六、农林水支出(类)农业农村(款)农村合作经济(项)</w:t>
      </w:r>
      <w:r>
        <w:rPr>
          <w:b w:val="on"/>
          <w:rFonts w:ascii="仿宋" w:eastAsia="仿宋" w:hAnsi="仿宋" w:cs="仿宋"/>
          <w:u w:color="auto"/>
        </w:rPr>
        <w:t>：</w:t>
      </w:r>
      <w:r>
        <w:rPr>
          <w:rFonts w:hint="eastAsia" w:ascii="仿宋" w:hAnsi="仿宋" w:eastAsia="仿宋" w:cs="仿宋"/>
        </w:rPr>
        <w:t>反映用于农村集体经济组织、农民合作经济组织、新型农业经营主体和农业社会化服务体系建设，以及土地承包管理、宅基地管理等方面的支出。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二十七、商业服务业等支出(类)商业流通事务(款)行政运行(项)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二十八、商业服务业等支出(类)商业流通事务(款)一般行政管理事务(项)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三十一、住房保障支出(类)住房改革支出(款)购房补贴(项)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苏州市供销合作总社</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