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苏州市供销合作总社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9.92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0.63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9.29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9.29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0.63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0.63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9.92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.63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9.92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0.63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6.35%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满足单位设备更新需求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为保障单位的正常工作，购置必需的办公设备。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保障单位正常运转。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保障单位正常运转。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根据业务需求，有序完成2025年的设备采购工作。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保障单位正常运转。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项目执行率较低，原因是按市委网信办要求，本年度需对单位内网使用的网络设备进行GCH改造，所需资金由我单位测算并编制预算，后由市委网信办统一采购配发设备，因此该项资金未使用。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